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9C2C3" w14:textId="6C3884EF" w:rsidR="00C07C78" w:rsidRDefault="00C10CE6" w:rsidP="00C07C7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</w:rPr>
        <w:t>July</w:t>
      </w:r>
      <w:r w:rsidR="002732D7">
        <w:rPr>
          <w:rFonts w:asciiTheme="minorHAnsi" w:hAnsiTheme="minorHAnsi"/>
          <w:b/>
          <w:bCs/>
          <w:sz w:val="32"/>
        </w:rPr>
        <w:t xml:space="preserve"> 2019</w:t>
      </w:r>
      <w:r w:rsidR="00B3100D" w:rsidRPr="00B3100D">
        <w:rPr>
          <w:rFonts w:asciiTheme="minorHAnsi" w:hAnsiTheme="minorHAnsi"/>
          <w:b/>
          <w:bCs/>
          <w:sz w:val="32"/>
        </w:rPr>
        <w:t xml:space="preserve"> CenSARA Regional Haze</w:t>
      </w:r>
      <w:r w:rsidR="00B60EC9">
        <w:rPr>
          <w:rFonts w:asciiTheme="minorHAnsi" w:hAnsiTheme="minorHAnsi"/>
          <w:b/>
          <w:bCs/>
          <w:sz w:val="32"/>
        </w:rPr>
        <w:t xml:space="preserve"> Call Notes - DRAFT</w:t>
      </w:r>
      <w:r w:rsidR="00AA5F97">
        <w:rPr>
          <w:rFonts w:asciiTheme="minorHAnsi" w:hAnsiTheme="minorHAnsi"/>
        </w:rPr>
        <w:br/>
        <w:t xml:space="preserve">Tue, </w:t>
      </w:r>
      <w:r w:rsidR="00470EA8">
        <w:rPr>
          <w:rFonts w:asciiTheme="minorHAnsi" w:hAnsiTheme="minorHAnsi"/>
        </w:rPr>
        <w:t>J</w:t>
      </w:r>
      <w:r>
        <w:rPr>
          <w:rFonts w:asciiTheme="minorHAnsi" w:hAnsiTheme="minorHAnsi"/>
        </w:rPr>
        <w:t>uly</w:t>
      </w:r>
      <w:r w:rsidR="00B4625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9</w:t>
      </w:r>
      <w:r w:rsidR="00B4625B">
        <w:rPr>
          <w:rFonts w:asciiTheme="minorHAnsi" w:hAnsiTheme="minorHAnsi"/>
        </w:rPr>
        <w:t>th</w:t>
      </w:r>
      <w:r w:rsidR="002732D7">
        <w:rPr>
          <w:rFonts w:asciiTheme="minorHAnsi" w:hAnsiTheme="minorHAnsi"/>
        </w:rPr>
        <w:t>, 2019</w:t>
      </w:r>
      <w:r w:rsidR="00B3100D" w:rsidRPr="00B3100D">
        <w:rPr>
          <w:rFonts w:asciiTheme="minorHAnsi" w:hAnsiTheme="minorHAnsi"/>
        </w:rPr>
        <w:t xml:space="preserve"> 2:00 PM - 3:00 PM CDT </w:t>
      </w:r>
      <w:r w:rsidR="00B3100D" w:rsidRPr="00B3100D">
        <w:rPr>
          <w:rFonts w:asciiTheme="minorHAnsi" w:hAnsiTheme="minorHAnsi"/>
        </w:rPr>
        <w:br/>
      </w:r>
      <w:r w:rsidR="00B3100D" w:rsidRPr="00B3100D">
        <w:rPr>
          <w:rFonts w:asciiTheme="minorHAnsi" w:hAnsiTheme="minorHAnsi"/>
        </w:rPr>
        <w:br/>
      </w:r>
      <w:r w:rsidR="00B3100D" w:rsidRPr="00B3100D">
        <w:rPr>
          <w:rFonts w:asciiTheme="minorHAnsi" w:hAnsiTheme="minorHAnsi"/>
          <w:b/>
          <w:bCs/>
        </w:rPr>
        <w:t>Join the conference call: </w:t>
      </w:r>
      <w:r w:rsidR="00B3100D" w:rsidRPr="00B3100D">
        <w:rPr>
          <w:rFonts w:asciiTheme="minorHAnsi" w:hAnsiTheme="minorHAnsi"/>
        </w:rPr>
        <w:br/>
        <w:t>Call in Number 1-888-965-8998 Pass code 23672724# </w:t>
      </w:r>
    </w:p>
    <w:p w14:paraId="31B799EC" w14:textId="77777777" w:rsidR="00020589" w:rsidRDefault="00020589" w:rsidP="00C07C78">
      <w:pPr>
        <w:jc w:val="center"/>
        <w:rPr>
          <w:rFonts w:asciiTheme="minorHAnsi" w:hAnsiTheme="minorHAnsi"/>
        </w:rPr>
      </w:pPr>
    </w:p>
    <w:p w14:paraId="5769EB7D" w14:textId="09B2F6ED" w:rsidR="00020589" w:rsidRDefault="00020589" w:rsidP="00C07C7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GoToMeeting: </w:t>
      </w:r>
      <w:hyperlink r:id="rId8" w:history="1">
        <w:r w:rsidRPr="008F2605">
          <w:rPr>
            <w:rStyle w:val="Hyperlink"/>
            <w:rFonts w:asciiTheme="minorHAnsi" w:hAnsiTheme="minorHAnsi"/>
          </w:rPr>
          <w:t>https://global.gotomeeting.com/join/184937453</w:t>
        </w:r>
      </w:hyperlink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31ED4C7D" w14:textId="77777777" w:rsidR="000F6110" w:rsidRDefault="006E038C" w:rsidP="007358AE">
      <w:pPr>
        <w:pStyle w:val="ListParagraph"/>
        <w:numPr>
          <w:ilvl w:val="0"/>
          <w:numId w:val="9"/>
        </w:numPr>
        <w:ind w:left="360" w:firstLine="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2:00 – 2</w:t>
      </w:r>
      <w:r w:rsidR="00E74AE3" w:rsidRPr="000F6110">
        <w:rPr>
          <w:rFonts w:asciiTheme="minorHAnsi" w:hAnsiTheme="minorHAnsi"/>
        </w:rPr>
        <w:t>:05</w:t>
      </w:r>
      <w:r w:rsidR="00606CE5" w:rsidRPr="000F6110">
        <w:rPr>
          <w:rFonts w:asciiTheme="minorHAnsi" w:hAnsiTheme="minorHAnsi"/>
        </w:rPr>
        <w:t xml:space="preserve"> </w:t>
      </w:r>
      <w:r w:rsidR="00606CE5" w:rsidRPr="000F6110">
        <w:rPr>
          <w:rFonts w:asciiTheme="minorHAnsi" w:hAnsiTheme="minorHAnsi"/>
        </w:rPr>
        <w:tab/>
      </w:r>
      <w:r w:rsidR="00B0235B" w:rsidRPr="000F6110">
        <w:rPr>
          <w:rFonts w:asciiTheme="minorHAnsi" w:hAnsiTheme="minorHAnsi"/>
        </w:rPr>
        <w:t>Welcome and roll call</w:t>
      </w:r>
      <w:r w:rsidR="00DC5423" w:rsidRPr="000F6110">
        <w:rPr>
          <w:rFonts w:asciiTheme="minorHAnsi" w:hAnsiTheme="minorHAnsi"/>
        </w:rPr>
        <w:t xml:space="preserve"> – </w:t>
      </w:r>
      <w:r w:rsidR="00592B35" w:rsidRPr="000F6110">
        <w:rPr>
          <w:rFonts w:asciiTheme="minorHAnsi" w:hAnsiTheme="minorHAnsi"/>
        </w:rPr>
        <w:t>Michael Vince</w:t>
      </w:r>
      <w:r w:rsidR="00DC5423" w:rsidRPr="000F6110">
        <w:rPr>
          <w:rFonts w:asciiTheme="minorHAnsi" w:hAnsiTheme="minorHAnsi"/>
        </w:rPr>
        <w:t>, CenSARA</w:t>
      </w:r>
    </w:p>
    <w:p w14:paraId="5F10D830" w14:textId="43F41732" w:rsidR="000F6110" w:rsidRPr="000F6110" w:rsidRDefault="000F6110" w:rsidP="007358AE">
      <w:pPr>
        <w:pStyle w:val="ListParagraph"/>
        <w:numPr>
          <w:ilvl w:val="4"/>
          <w:numId w:val="9"/>
        </w:numPr>
        <w:ind w:left="2520"/>
        <w:rPr>
          <w:rFonts w:asciiTheme="minorHAnsi" w:hAnsiTheme="minorHAnsi"/>
        </w:rPr>
      </w:pPr>
      <w:bookmarkStart w:id="0" w:name="_GoBack"/>
      <w:r w:rsidRPr="000F6110">
        <w:rPr>
          <w:rFonts w:asciiTheme="minorHAnsi" w:hAnsiTheme="minorHAnsi"/>
        </w:rPr>
        <w:t xml:space="preserve">Arkansas (Clark, </w:t>
      </w:r>
      <w:r w:rsidR="00610199">
        <w:rPr>
          <w:rFonts w:asciiTheme="minorHAnsi" w:hAnsiTheme="minorHAnsi"/>
        </w:rPr>
        <w:t xml:space="preserve">Pennington, </w:t>
      </w:r>
      <w:r w:rsidRPr="000F6110">
        <w:rPr>
          <w:rFonts w:asciiTheme="minorHAnsi" w:hAnsiTheme="minorHAnsi"/>
        </w:rPr>
        <w:t xml:space="preserve">Hossan, </w:t>
      </w:r>
      <w:proofErr w:type="spellStart"/>
      <w:r w:rsidR="00610199">
        <w:rPr>
          <w:rFonts w:asciiTheme="minorHAnsi" w:hAnsiTheme="minorHAnsi"/>
        </w:rPr>
        <w:t>Jobe</w:t>
      </w:r>
      <w:proofErr w:type="spellEnd"/>
      <w:r w:rsidRPr="000F6110">
        <w:rPr>
          <w:rFonts w:asciiTheme="minorHAnsi" w:hAnsiTheme="minorHAnsi"/>
        </w:rPr>
        <w:t>)</w:t>
      </w:r>
    </w:p>
    <w:p w14:paraId="24428214" w14:textId="77777777" w:rsidR="000F6110" w:rsidRPr="000F6110" w:rsidRDefault="000F6110" w:rsidP="007358AE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b.</w:t>
      </w:r>
      <w:r w:rsidRPr="000F6110">
        <w:rPr>
          <w:rFonts w:asciiTheme="minorHAnsi" w:hAnsiTheme="minorHAnsi"/>
        </w:rPr>
        <w:tab/>
        <w:t>Iowa (Johnson)</w:t>
      </w:r>
    </w:p>
    <w:p w14:paraId="26850E89" w14:textId="2C8E5808" w:rsidR="000F6110" w:rsidRPr="000F6110" w:rsidRDefault="000F6110" w:rsidP="007358AE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c.</w:t>
      </w:r>
      <w:r w:rsidRPr="000F6110">
        <w:rPr>
          <w:rFonts w:asciiTheme="minorHAnsi" w:hAnsiTheme="minorHAnsi"/>
        </w:rPr>
        <w:tab/>
        <w:t>Kansas (</w:t>
      </w:r>
      <w:proofErr w:type="spellStart"/>
      <w:r w:rsidRPr="000F6110">
        <w:rPr>
          <w:rFonts w:asciiTheme="minorHAnsi" w:hAnsiTheme="minorHAnsi"/>
        </w:rPr>
        <w:t>Deahl</w:t>
      </w:r>
      <w:proofErr w:type="spellEnd"/>
      <w:r w:rsidRPr="000F6110">
        <w:rPr>
          <w:rFonts w:asciiTheme="minorHAnsi" w:hAnsiTheme="minorHAnsi"/>
        </w:rPr>
        <w:t>)</w:t>
      </w:r>
    </w:p>
    <w:p w14:paraId="598B6C5E" w14:textId="77777777" w:rsidR="000F6110" w:rsidRPr="000F6110" w:rsidRDefault="000F6110" w:rsidP="007358AE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d.</w:t>
      </w:r>
      <w:r w:rsidRPr="000F6110">
        <w:rPr>
          <w:rFonts w:asciiTheme="minorHAnsi" w:hAnsiTheme="minorHAnsi"/>
        </w:rPr>
        <w:tab/>
        <w:t>Louisiana (Babin)</w:t>
      </w:r>
    </w:p>
    <w:p w14:paraId="54C940BE" w14:textId="65BA6ECA" w:rsidR="000F6110" w:rsidRPr="000F6110" w:rsidRDefault="000F6110" w:rsidP="007358AE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e.</w:t>
      </w:r>
      <w:r w:rsidRPr="000F6110">
        <w:rPr>
          <w:rFonts w:asciiTheme="minorHAnsi" w:hAnsiTheme="minorHAnsi"/>
        </w:rPr>
        <w:tab/>
        <w:t>Missouri (</w:t>
      </w:r>
      <w:proofErr w:type="spellStart"/>
      <w:r w:rsidRPr="000F6110">
        <w:rPr>
          <w:rFonts w:asciiTheme="minorHAnsi" w:hAnsiTheme="minorHAnsi"/>
        </w:rPr>
        <w:t>Alsharafi</w:t>
      </w:r>
      <w:proofErr w:type="spellEnd"/>
      <w:r w:rsidRPr="000F6110">
        <w:rPr>
          <w:rFonts w:asciiTheme="minorHAnsi" w:hAnsiTheme="minorHAnsi"/>
        </w:rPr>
        <w:t xml:space="preserve">, Downs, </w:t>
      </w:r>
      <w:proofErr w:type="spellStart"/>
      <w:r w:rsidR="00B60EC9">
        <w:rPr>
          <w:rFonts w:asciiTheme="minorHAnsi" w:hAnsiTheme="minorHAnsi"/>
        </w:rPr>
        <w:t>Leath</w:t>
      </w:r>
      <w:proofErr w:type="spellEnd"/>
      <w:r w:rsidR="00B60EC9">
        <w:rPr>
          <w:rFonts w:asciiTheme="minorHAnsi" w:hAnsiTheme="minorHAnsi"/>
        </w:rPr>
        <w:t xml:space="preserve">, </w:t>
      </w:r>
      <w:proofErr w:type="spellStart"/>
      <w:r w:rsidR="00610199">
        <w:rPr>
          <w:rFonts w:asciiTheme="minorHAnsi" w:hAnsiTheme="minorHAnsi"/>
        </w:rPr>
        <w:t>Dindarloo</w:t>
      </w:r>
      <w:proofErr w:type="spellEnd"/>
      <w:r w:rsidRPr="000F6110">
        <w:rPr>
          <w:rFonts w:asciiTheme="minorHAnsi" w:hAnsiTheme="minorHAnsi"/>
        </w:rPr>
        <w:t>)</w:t>
      </w:r>
    </w:p>
    <w:p w14:paraId="47C596C2" w14:textId="77777777" w:rsidR="000F6110" w:rsidRPr="000F6110" w:rsidRDefault="000F6110" w:rsidP="007358AE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f.</w:t>
      </w:r>
      <w:r w:rsidRPr="000F6110">
        <w:rPr>
          <w:rFonts w:asciiTheme="minorHAnsi" w:hAnsiTheme="minorHAnsi"/>
        </w:rPr>
        <w:tab/>
        <w:t>Nebraska (Wharton)</w:t>
      </w:r>
    </w:p>
    <w:p w14:paraId="0235733C" w14:textId="78E6AF6D" w:rsidR="000F6110" w:rsidRPr="000F6110" w:rsidRDefault="000F6110" w:rsidP="007358AE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g.</w:t>
      </w:r>
      <w:r w:rsidRPr="000F6110">
        <w:rPr>
          <w:rFonts w:asciiTheme="minorHAnsi" w:hAnsiTheme="minorHAnsi"/>
        </w:rPr>
        <w:tab/>
        <w:t>Oklahoma (</w:t>
      </w:r>
      <w:r w:rsidR="00610199">
        <w:rPr>
          <w:rFonts w:asciiTheme="minorHAnsi" w:hAnsiTheme="minorHAnsi"/>
        </w:rPr>
        <w:t>Botchlet-Smith</w:t>
      </w:r>
      <w:r w:rsidR="000831E6">
        <w:rPr>
          <w:rFonts w:asciiTheme="minorHAnsi" w:hAnsiTheme="minorHAnsi"/>
        </w:rPr>
        <w:t xml:space="preserve">, Bradley, </w:t>
      </w:r>
      <w:proofErr w:type="spellStart"/>
      <w:r w:rsidRPr="000F6110">
        <w:rPr>
          <w:rFonts w:asciiTheme="minorHAnsi" w:hAnsiTheme="minorHAnsi"/>
        </w:rPr>
        <w:t>Garbe</w:t>
      </w:r>
      <w:proofErr w:type="spellEnd"/>
      <w:r w:rsidRPr="000F6110">
        <w:rPr>
          <w:rFonts w:asciiTheme="minorHAnsi" w:hAnsiTheme="minorHAnsi"/>
        </w:rPr>
        <w:t xml:space="preserve">, </w:t>
      </w:r>
      <w:r w:rsidR="000831E6">
        <w:rPr>
          <w:rFonts w:asciiTheme="minorHAnsi" w:hAnsiTheme="minorHAnsi"/>
        </w:rPr>
        <w:t xml:space="preserve">Petre, Miller, </w:t>
      </w:r>
      <w:r w:rsidRPr="000F6110">
        <w:rPr>
          <w:rFonts w:asciiTheme="minorHAnsi" w:hAnsiTheme="minorHAnsi"/>
        </w:rPr>
        <w:t>Richardson)</w:t>
      </w:r>
    </w:p>
    <w:p w14:paraId="579287B5" w14:textId="1CA22C00" w:rsidR="000F6110" w:rsidRPr="000F6110" w:rsidRDefault="000F6110" w:rsidP="007358AE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h.</w:t>
      </w:r>
      <w:r w:rsidRPr="000F6110">
        <w:rPr>
          <w:rFonts w:asciiTheme="minorHAnsi" w:hAnsiTheme="minorHAnsi"/>
        </w:rPr>
        <w:tab/>
        <w:t xml:space="preserve">Texas </w:t>
      </w:r>
      <w:r w:rsidR="000831E6">
        <w:rPr>
          <w:rFonts w:asciiTheme="minorHAnsi" w:hAnsiTheme="minorHAnsi"/>
        </w:rPr>
        <w:t>(</w:t>
      </w:r>
      <w:r w:rsidR="009B6D84">
        <w:rPr>
          <w:rFonts w:asciiTheme="minorHAnsi" w:hAnsiTheme="minorHAnsi"/>
        </w:rPr>
        <w:t xml:space="preserve">Gifford, </w:t>
      </w:r>
      <w:r w:rsidRPr="000F6110">
        <w:rPr>
          <w:rFonts w:asciiTheme="minorHAnsi" w:hAnsiTheme="minorHAnsi"/>
        </w:rPr>
        <w:t xml:space="preserve">Galvan, </w:t>
      </w:r>
      <w:proofErr w:type="spellStart"/>
      <w:r w:rsidRPr="000F6110">
        <w:rPr>
          <w:rFonts w:asciiTheme="minorHAnsi" w:hAnsiTheme="minorHAnsi"/>
        </w:rPr>
        <w:t>Mellberg</w:t>
      </w:r>
      <w:proofErr w:type="spellEnd"/>
      <w:r w:rsidRPr="000F6110">
        <w:rPr>
          <w:rFonts w:asciiTheme="minorHAnsi" w:hAnsiTheme="minorHAnsi"/>
        </w:rPr>
        <w:t xml:space="preserve">, Earnest, Shirley, </w:t>
      </w:r>
      <w:proofErr w:type="spellStart"/>
      <w:r w:rsidRPr="000F6110">
        <w:rPr>
          <w:rFonts w:asciiTheme="minorHAnsi" w:hAnsiTheme="minorHAnsi"/>
        </w:rPr>
        <w:t>Meiler</w:t>
      </w:r>
      <w:proofErr w:type="spellEnd"/>
      <w:r w:rsidRPr="000F6110">
        <w:rPr>
          <w:rFonts w:asciiTheme="minorHAnsi" w:hAnsiTheme="minorHAnsi"/>
        </w:rPr>
        <w:t>)</w:t>
      </w:r>
    </w:p>
    <w:p w14:paraId="2B6D0C77" w14:textId="4EF87A0B" w:rsidR="000F6110" w:rsidRPr="000F6110" w:rsidRDefault="000F6110" w:rsidP="007358AE">
      <w:pPr>
        <w:ind w:left="2880" w:hanging="720"/>
        <w:rPr>
          <w:rFonts w:asciiTheme="minorHAnsi" w:hAnsiTheme="minorHAnsi"/>
        </w:rPr>
      </w:pPr>
      <w:proofErr w:type="spellStart"/>
      <w:r w:rsidRPr="000F6110">
        <w:rPr>
          <w:rFonts w:asciiTheme="minorHAnsi" w:hAnsiTheme="minorHAnsi"/>
        </w:rPr>
        <w:t>i</w:t>
      </w:r>
      <w:proofErr w:type="spellEnd"/>
      <w:r w:rsidRPr="000F6110">
        <w:rPr>
          <w:rFonts w:asciiTheme="minorHAnsi" w:hAnsiTheme="minorHAnsi"/>
        </w:rPr>
        <w:t>.</w:t>
      </w:r>
      <w:r w:rsidRPr="000F6110">
        <w:rPr>
          <w:rFonts w:asciiTheme="minorHAnsi" w:hAnsiTheme="minorHAnsi"/>
        </w:rPr>
        <w:tab/>
        <w:t>U.S. Environmental Protection Agency (EPA) (</w:t>
      </w:r>
      <w:proofErr w:type="spellStart"/>
      <w:r w:rsidRPr="000F6110">
        <w:rPr>
          <w:rFonts w:asciiTheme="minorHAnsi" w:hAnsiTheme="minorHAnsi"/>
        </w:rPr>
        <w:t>Huser</w:t>
      </w:r>
      <w:proofErr w:type="spellEnd"/>
      <w:r w:rsidRPr="000F6110">
        <w:rPr>
          <w:rFonts w:asciiTheme="minorHAnsi" w:hAnsiTheme="minorHAnsi"/>
        </w:rPr>
        <w:t>,</w:t>
      </w:r>
      <w:r w:rsidR="000831E6">
        <w:rPr>
          <w:rFonts w:asciiTheme="minorHAnsi" w:hAnsiTheme="minorHAnsi"/>
        </w:rPr>
        <w:t xml:space="preserve"> Feldman, </w:t>
      </w:r>
      <w:proofErr w:type="spellStart"/>
      <w:r w:rsidR="000831E6">
        <w:rPr>
          <w:rFonts w:asciiTheme="minorHAnsi" w:hAnsiTheme="minorHAnsi"/>
        </w:rPr>
        <w:t>Wolkins</w:t>
      </w:r>
      <w:proofErr w:type="spellEnd"/>
      <w:r w:rsidR="000831E6">
        <w:rPr>
          <w:rFonts w:asciiTheme="minorHAnsi" w:hAnsiTheme="minorHAnsi"/>
        </w:rPr>
        <w:t xml:space="preserve">, </w:t>
      </w:r>
      <w:proofErr w:type="spellStart"/>
      <w:r w:rsidR="000831E6">
        <w:rPr>
          <w:rFonts w:asciiTheme="minorHAnsi" w:hAnsiTheme="minorHAnsi"/>
        </w:rPr>
        <w:t>Avey</w:t>
      </w:r>
      <w:proofErr w:type="spellEnd"/>
      <w:r w:rsidR="000831E6">
        <w:rPr>
          <w:rFonts w:asciiTheme="minorHAnsi" w:hAnsiTheme="minorHAnsi"/>
        </w:rPr>
        <w:t>, Werner, Kornylak</w:t>
      </w:r>
      <w:r w:rsidRPr="000F6110">
        <w:rPr>
          <w:rFonts w:asciiTheme="minorHAnsi" w:hAnsiTheme="minorHAnsi"/>
        </w:rPr>
        <w:t>)</w:t>
      </w:r>
    </w:p>
    <w:p w14:paraId="1183F651" w14:textId="2EA0A492" w:rsidR="000F6110" w:rsidRPr="000F6110" w:rsidRDefault="000F6110" w:rsidP="007358AE">
      <w:pPr>
        <w:ind w:left="2880" w:hanging="72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j.</w:t>
      </w:r>
      <w:r w:rsidRPr="000F6110">
        <w:rPr>
          <w:rFonts w:asciiTheme="minorHAnsi" w:hAnsiTheme="minorHAnsi"/>
        </w:rPr>
        <w:tab/>
        <w:t xml:space="preserve">Federal Land Managers (FLM) </w:t>
      </w:r>
      <w:r w:rsidR="00864897">
        <w:rPr>
          <w:rFonts w:asciiTheme="minorHAnsi" w:hAnsiTheme="minorHAnsi"/>
        </w:rPr>
        <w:t xml:space="preserve">Brewer, </w:t>
      </w:r>
      <w:r w:rsidR="000831E6">
        <w:rPr>
          <w:rFonts w:asciiTheme="minorHAnsi" w:hAnsiTheme="minorHAnsi"/>
        </w:rPr>
        <w:t>Peters</w:t>
      </w:r>
      <w:r w:rsidRPr="000F6110">
        <w:rPr>
          <w:rFonts w:asciiTheme="minorHAnsi" w:hAnsiTheme="minorHAnsi"/>
        </w:rPr>
        <w:t xml:space="preserve"> -National Park Service, </w:t>
      </w:r>
      <w:r w:rsidR="000831E6">
        <w:rPr>
          <w:rFonts w:asciiTheme="minorHAnsi" w:hAnsiTheme="minorHAnsi"/>
        </w:rPr>
        <w:t xml:space="preserve">Ash, Copeland </w:t>
      </w:r>
      <w:r w:rsidRPr="000F6110">
        <w:rPr>
          <w:rFonts w:asciiTheme="minorHAnsi" w:hAnsiTheme="minorHAnsi"/>
        </w:rPr>
        <w:t>-Forest Service (FS)</w:t>
      </w:r>
      <w:r w:rsidR="008F66C0">
        <w:rPr>
          <w:rFonts w:asciiTheme="minorHAnsi" w:hAnsiTheme="minorHAnsi"/>
        </w:rPr>
        <w:t xml:space="preserve">, </w:t>
      </w:r>
    </w:p>
    <w:p w14:paraId="0E8D470A" w14:textId="72D9B731" w:rsidR="000F6110" w:rsidRPr="000F6110" w:rsidRDefault="000F6110" w:rsidP="007358AE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k.</w:t>
      </w:r>
      <w:r w:rsidRPr="000F6110">
        <w:rPr>
          <w:rFonts w:asciiTheme="minorHAnsi" w:hAnsiTheme="minorHAnsi"/>
        </w:rPr>
        <w:tab/>
        <w:t>Tribal</w:t>
      </w:r>
    </w:p>
    <w:p w14:paraId="7B1FA2E2" w14:textId="2F876079" w:rsidR="00DC5423" w:rsidRPr="00DC5423" w:rsidRDefault="000F6110" w:rsidP="007358AE">
      <w:pPr>
        <w:ind w:left="2880" w:hanging="72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l.</w:t>
      </w:r>
      <w:r w:rsidRPr="000F6110">
        <w:rPr>
          <w:rFonts w:asciiTheme="minorHAnsi" w:hAnsiTheme="minorHAnsi"/>
        </w:rPr>
        <w:tab/>
        <w:t>Other (</w:t>
      </w:r>
      <w:r w:rsidR="00697C5A">
        <w:rPr>
          <w:rFonts w:asciiTheme="minorHAnsi" w:hAnsiTheme="minorHAnsi"/>
        </w:rPr>
        <w:t xml:space="preserve">Hornback, </w:t>
      </w:r>
      <w:r w:rsidRPr="000F6110">
        <w:rPr>
          <w:rFonts w:asciiTheme="minorHAnsi" w:hAnsiTheme="minorHAnsi"/>
        </w:rPr>
        <w:t xml:space="preserve">Bickerstaff – MS, Bacon- AL, </w:t>
      </w:r>
      <w:proofErr w:type="spellStart"/>
      <w:r w:rsidR="008E0DBF">
        <w:rPr>
          <w:rFonts w:asciiTheme="minorHAnsi" w:hAnsiTheme="minorHAnsi"/>
        </w:rPr>
        <w:t>Tardiff</w:t>
      </w:r>
      <w:proofErr w:type="spellEnd"/>
      <w:r w:rsidR="008E0DBF">
        <w:rPr>
          <w:rFonts w:asciiTheme="minorHAnsi" w:hAnsiTheme="minorHAnsi"/>
        </w:rPr>
        <w:t>- NC</w:t>
      </w:r>
      <w:r w:rsidRPr="000F6110">
        <w:rPr>
          <w:rFonts w:asciiTheme="minorHAnsi" w:hAnsiTheme="minorHAnsi"/>
        </w:rPr>
        <w:t xml:space="preserve">, </w:t>
      </w:r>
      <w:proofErr w:type="spellStart"/>
      <w:r w:rsidR="008E0DBF">
        <w:rPr>
          <w:rFonts w:asciiTheme="minorHAnsi" w:hAnsiTheme="minorHAnsi"/>
        </w:rPr>
        <w:t>Poff</w:t>
      </w:r>
      <w:proofErr w:type="spellEnd"/>
      <w:r w:rsidR="008E0DBF">
        <w:rPr>
          <w:rFonts w:asciiTheme="minorHAnsi" w:hAnsiTheme="minorHAnsi"/>
        </w:rPr>
        <w:t xml:space="preserve"> - </w:t>
      </w:r>
      <w:r w:rsidRPr="000F6110">
        <w:rPr>
          <w:rFonts w:asciiTheme="minorHAnsi" w:hAnsiTheme="minorHAnsi"/>
        </w:rPr>
        <w:t>Kentucky</w:t>
      </w:r>
      <w:proofErr w:type="gramStart"/>
      <w:r w:rsidRPr="000F6110">
        <w:rPr>
          <w:rFonts w:asciiTheme="minorHAnsi" w:hAnsiTheme="minorHAnsi"/>
        </w:rPr>
        <w:t xml:space="preserve">, </w:t>
      </w:r>
      <w:r w:rsidR="00771FDC">
        <w:rPr>
          <w:rFonts w:asciiTheme="minorHAnsi" w:hAnsiTheme="minorHAnsi"/>
        </w:rPr>
        <w:t>?</w:t>
      </w:r>
      <w:proofErr w:type="gramEnd"/>
      <w:r w:rsidR="001A088B">
        <w:rPr>
          <w:rFonts w:asciiTheme="minorHAnsi" w:hAnsiTheme="minorHAnsi"/>
        </w:rPr>
        <w:t xml:space="preserve"> -</w:t>
      </w:r>
      <w:r w:rsidRPr="000F6110">
        <w:rPr>
          <w:rFonts w:asciiTheme="minorHAnsi" w:hAnsiTheme="minorHAnsi"/>
        </w:rPr>
        <w:t>West Virginia)</w:t>
      </w:r>
      <w:bookmarkEnd w:id="0"/>
    </w:p>
    <w:p w14:paraId="36FA0368" w14:textId="7DA2BEED" w:rsidR="00FE42B9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020589">
        <w:rPr>
          <w:color w:val="000000"/>
          <w:shd w:val="clear" w:color="auto" w:fill="FFFFFF"/>
        </w:rPr>
        <w:t>3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FE42B9" w:rsidRPr="00FE42B9">
        <w:rPr>
          <w:color w:val="000000"/>
          <w:shd w:val="clear" w:color="auto" w:fill="FFFFFF"/>
        </w:rPr>
        <w:t xml:space="preserve">National RH Meeting Discussion </w:t>
      </w:r>
    </w:p>
    <w:p w14:paraId="78A128F5" w14:textId="74ACA329" w:rsidR="00FE42B9" w:rsidRDefault="00C10CE6" w:rsidP="00864897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Current Draft Agenda</w:t>
      </w:r>
      <w:r w:rsidR="0010787B">
        <w:rPr>
          <w:rFonts w:asciiTheme="minorHAnsi" w:hAnsiTheme="minorHAnsi"/>
        </w:rPr>
        <w:t xml:space="preserve"> (Attached)</w:t>
      </w:r>
      <w:r w:rsidR="00020589">
        <w:rPr>
          <w:rFonts w:asciiTheme="minorHAnsi" w:hAnsiTheme="minorHAnsi"/>
        </w:rPr>
        <w:t xml:space="preserve"> </w:t>
      </w:r>
      <w:r w:rsidR="001C48CB">
        <w:rPr>
          <w:rFonts w:asciiTheme="minorHAnsi" w:hAnsiTheme="minorHAnsi"/>
        </w:rPr>
        <w:t xml:space="preserve">and Meeting Logistics </w:t>
      </w:r>
      <w:r w:rsidR="00020589">
        <w:rPr>
          <w:rFonts w:asciiTheme="minorHAnsi" w:hAnsiTheme="minorHAnsi"/>
        </w:rPr>
        <w:t>(using GoToMeeting)</w:t>
      </w:r>
      <w:r w:rsidR="00EA34B1">
        <w:rPr>
          <w:rFonts w:asciiTheme="minorHAnsi" w:hAnsiTheme="minorHAnsi"/>
        </w:rPr>
        <w:t>.  Michael went thru the DRAFT agenda</w:t>
      </w:r>
      <w:r w:rsidR="00192ABB">
        <w:rPr>
          <w:rFonts w:asciiTheme="minorHAnsi" w:hAnsiTheme="minorHAnsi"/>
        </w:rPr>
        <w:t xml:space="preserve"> for the National Regional Haze meeting</w:t>
      </w:r>
      <w:r w:rsidR="00010444">
        <w:rPr>
          <w:rFonts w:asciiTheme="minorHAnsi" w:hAnsiTheme="minorHAnsi"/>
        </w:rPr>
        <w:t xml:space="preserve">.  There was quite a bit of editing on the agenda to reflect changes in speakers and </w:t>
      </w:r>
      <w:r w:rsidR="009777B9">
        <w:rPr>
          <w:rFonts w:asciiTheme="minorHAnsi" w:hAnsiTheme="minorHAnsi"/>
        </w:rPr>
        <w:t xml:space="preserve">topics.  Michael reported that St. Louis will be the location of the meeting.  He noted that we have selected the Holiday Inn Conference </w:t>
      </w:r>
      <w:r w:rsidR="00EA11E3">
        <w:rPr>
          <w:rFonts w:asciiTheme="minorHAnsi" w:hAnsiTheme="minorHAnsi"/>
        </w:rPr>
        <w:t>C</w:t>
      </w:r>
      <w:r w:rsidR="009777B9">
        <w:rPr>
          <w:rFonts w:asciiTheme="minorHAnsi" w:hAnsiTheme="minorHAnsi"/>
        </w:rPr>
        <w:t>enter as the location</w:t>
      </w:r>
      <w:r w:rsidR="00EA11E3">
        <w:rPr>
          <w:rFonts w:asciiTheme="minorHAnsi" w:hAnsiTheme="minorHAnsi"/>
        </w:rPr>
        <w:t>.  Great deals on food and government rates on the sleeping rooms.</w:t>
      </w:r>
      <w:r w:rsidR="00513B7C">
        <w:rPr>
          <w:rFonts w:asciiTheme="minorHAnsi" w:hAnsiTheme="minorHAnsi"/>
        </w:rPr>
        <w:t xml:space="preserve">  </w:t>
      </w:r>
    </w:p>
    <w:p w14:paraId="53F58987" w14:textId="3342B054" w:rsidR="00513B7C" w:rsidRDefault="00513B7C" w:rsidP="00864897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 number of</w:t>
      </w:r>
      <w:proofErr w:type="gramEnd"/>
      <w:r>
        <w:rPr>
          <w:rFonts w:asciiTheme="minorHAnsi" w:hAnsiTheme="minorHAnsi"/>
        </w:rPr>
        <w:t xml:space="preserve"> speakers and updated topics were suggested</w:t>
      </w:r>
      <w:r w:rsidR="00817244">
        <w:rPr>
          <w:rFonts w:asciiTheme="minorHAnsi" w:hAnsiTheme="minorHAnsi"/>
        </w:rPr>
        <w:t>.  Michael noted that he would be working with Vera at EPA to get the agenda to a final version as quickly as possible.</w:t>
      </w:r>
      <w:r w:rsidR="00893148">
        <w:rPr>
          <w:rFonts w:asciiTheme="minorHAnsi" w:hAnsiTheme="minorHAnsi"/>
        </w:rPr>
        <w:t xml:space="preserve">  John Hornback stressed that states need to know what their neighbors are doing to achieve consistency.</w:t>
      </w:r>
      <w:r w:rsidR="004F10A8">
        <w:rPr>
          <w:rFonts w:asciiTheme="minorHAnsi" w:hAnsiTheme="minorHAnsi"/>
        </w:rPr>
        <w:t xml:space="preserve">  Goal of the end of August to finalize the agenda.</w:t>
      </w:r>
    </w:p>
    <w:p w14:paraId="1536CA78" w14:textId="45154A2E" w:rsidR="00864897" w:rsidRPr="00864897" w:rsidRDefault="00864897" w:rsidP="00864897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864897">
        <w:rPr>
          <w:rFonts w:asciiTheme="minorHAnsi" w:hAnsiTheme="minorHAnsi"/>
        </w:rPr>
        <w:t xml:space="preserve">Michael </w:t>
      </w:r>
      <w:r>
        <w:rPr>
          <w:rFonts w:asciiTheme="minorHAnsi" w:hAnsiTheme="minorHAnsi"/>
        </w:rPr>
        <w:t>made a r</w:t>
      </w:r>
      <w:r w:rsidRPr="00864897">
        <w:rPr>
          <w:rFonts w:asciiTheme="minorHAnsi" w:hAnsiTheme="minorHAnsi"/>
        </w:rPr>
        <w:t>equest for the Regions to be ready for discussions with their states.</w:t>
      </w:r>
    </w:p>
    <w:p w14:paraId="2073630E" w14:textId="5CE227AC" w:rsidR="00864897" w:rsidRPr="00864897" w:rsidRDefault="00864897" w:rsidP="00864897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864897">
        <w:rPr>
          <w:rFonts w:asciiTheme="minorHAnsi" w:hAnsiTheme="minorHAnsi"/>
        </w:rPr>
        <w:t>Kirsten King noted that there would likely not be consistency of sources selected for analysis between the various services</w:t>
      </w:r>
      <w:r>
        <w:rPr>
          <w:rFonts w:asciiTheme="minorHAnsi" w:hAnsiTheme="minorHAnsi"/>
        </w:rPr>
        <w:t xml:space="preserve"> when we have those topics discussed at the meeting</w:t>
      </w:r>
      <w:r w:rsidRPr="00864897">
        <w:rPr>
          <w:rFonts w:asciiTheme="minorHAnsi" w:hAnsiTheme="minorHAnsi"/>
        </w:rPr>
        <w:t>.</w:t>
      </w:r>
    </w:p>
    <w:p w14:paraId="2842ACC4" w14:textId="77777777" w:rsidR="00FE42B9" w:rsidRPr="00FE42B9" w:rsidRDefault="00FE42B9" w:rsidP="00FE42B9">
      <w:pPr>
        <w:ind w:left="360"/>
        <w:rPr>
          <w:rFonts w:asciiTheme="minorHAnsi" w:hAnsiTheme="minorHAnsi"/>
        </w:rPr>
      </w:pPr>
    </w:p>
    <w:p w14:paraId="26D48BBD" w14:textId="6B18DDC1" w:rsidR="00DC32D7" w:rsidRPr="00864897" w:rsidRDefault="00FE42B9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2:</w:t>
      </w:r>
      <w:r w:rsidR="00020589">
        <w:rPr>
          <w:color w:val="000000"/>
          <w:shd w:val="clear" w:color="auto" w:fill="FFFFFF"/>
        </w:rPr>
        <w:t>3</w:t>
      </w:r>
      <w:r w:rsidR="00F7364D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– 2:</w:t>
      </w:r>
      <w:r w:rsidR="00020589">
        <w:rPr>
          <w:color w:val="000000"/>
          <w:shd w:val="clear" w:color="auto" w:fill="FFFFFF"/>
        </w:rPr>
        <w:t>4</w:t>
      </w:r>
      <w:r w:rsidR="00A97FEA">
        <w:rPr>
          <w:color w:val="000000"/>
          <w:shd w:val="clear" w:color="auto" w:fill="FFFFFF"/>
        </w:rPr>
        <w:t>0</w:t>
      </w:r>
      <w:r>
        <w:rPr>
          <w:color w:val="000000"/>
          <w:shd w:val="clear" w:color="auto" w:fill="FFFFFF"/>
        </w:rPr>
        <w:tab/>
      </w:r>
      <w:r w:rsidR="00DC32D7" w:rsidRPr="00FE42B9">
        <w:rPr>
          <w:color w:val="000000"/>
          <w:shd w:val="clear" w:color="auto" w:fill="FFFFFF"/>
        </w:rPr>
        <w:t xml:space="preserve">Reports and Updates from EPA </w:t>
      </w:r>
      <w:r w:rsidR="00C6238B">
        <w:rPr>
          <w:color w:val="000000"/>
          <w:shd w:val="clear" w:color="auto" w:fill="FFFFFF"/>
        </w:rPr>
        <w:t xml:space="preserve">– Regions </w:t>
      </w:r>
      <w:r w:rsidR="00DC32D7" w:rsidRPr="00FE42B9">
        <w:rPr>
          <w:color w:val="000000"/>
          <w:shd w:val="clear" w:color="auto" w:fill="FFFFFF"/>
        </w:rPr>
        <w:t>R6 and R7</w:t>
      </w:r>
      <w:r w:rsidR="00C6238B">
        <w:rPr>
          <w:color w:val="000000"/>
          <w:shd w:val="clear" w:color="auto" w:fill="FFFFFF"/>
        </w:rPr>
        <w:t xml:space="preserve"> &amp; OAQPS</w:t>
      </w:r>
    </w:p>
    <w:p w14:paraId="34002103" w14:textId="2FE660F4" w:rsidR="00864897" w:rsidRPr="00864897" w:rsidRDefault="00864897" w:rsidP="00864897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Regions – Nothing to report</w:t>
      </w:r>
    </w:p>
    <w:p w14:paraId="34224A55" w14:textId="73153BB2" w:rsidR="00864897" w:rsidRPr="00864897" w:rsidRDefault="00864897" w:rsidP="00864897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OAQPS – Nothing to report</w:t>
      </w:r>
    </w:p>
    <w:p w14:paraId="50E954CF" w14:textId="77777777" w:rsidR="00DC32D7" w:rsidRPr="00F77A03" w:rsidRDefault="00DC32D7" w:rsidP="00FE42B9">
      <w:pPr>
        <w:pStyle w:val="ListParagraph"/>
        <w:ind w:left="2880"/>
        <w:rPr>
          <w:rFonts w:asciiTheme="minorHAnsi" w:hAnsiTheme="minorHAnsi"/>
        </w:rPr>
      </w:pPr>
    </w:p>
    <w:p w14:paraId="7B7569CE" w14:textId="10A0052B" w:rsidR="00EE4C4E" w:rsidRDefault="00AA5F97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2:</w:t>
      </w:r>
      <w:r w:rsidR="00020589">
        <w:rPr>
          <w:color w:val="000000"/>
          <w:shd w:val="clear" w:color="auto" w:fill="FFFFFF"/>
        </w:rPr>
        <w:t>4</w:t>
      </w:r>
      <w:r w:rsidR="00A97FEA">
        <w:rPr>
          <w:color w:val="000000"/>
          <w:shd w:val="clear" w:color="auto" w:fill="FFFFFF"/>
        </w:rPr>
        <w:t>0</w:t>
      </w:r>
      <w:r w:rsidRPr="00FE42B9">
        <w:rPr>
          <w:color w:val="000000"/>
          <w:shd w:val="clear" w:color="auto" w:fill="FFFFFF"/>
        </w:rPr>
        <w:t xml:space="preserve"> – 2:</w:t>
      </w:r>
      <w:r w:rsidR="00020589">
        <w:rPr>
          <w:color w:val="000000"/>
          <w:shd w:val="clear" w:color="auto" w:fill="FFFFFF"/>
        </w:rPr>
        <w:t>5</w:t>
      </w:r>
      <w:r w:rsidR="00A97FEA">
        <w:rPr>
          <w:color w:val="000000"/>
          <w:shd w:val="clear" w:color="auto" w:fill="FFFFFF"/>
        </w:rPr>
        <w:t>0</w:t>
      </w:r>
      <w:r w:rsidR="004C2581" w:rsidRPr="00FE42B9">
        <w:rPr>
          <w:rFonts w:asciiTheme="minorHAnsi" w:hAnsiTheme="minorHAnsi"/>
        </w:rPr>
        <w:tab/>
        <w:t>Reports</w:t>
      </w:r>
      <w:r w:rsidR="007A0AFB" w:rsidRPr="00FE42B9">
        <w:rPr>
          <w:rFonts w:asciiTheme="minorHAnsi" w:hAnsiTheme="minorHAnsi"/>
        </w:rPr>
        <w:t xml:space="preserve"> and Updates</w:t>
      </w:r>
      <w:r w:rsidR="004C2581" w:rsidRPr="00FE42B9">
        <w:rPr>
          <w:rFonts w:asciiTheme="minorHAnsi" w:hAnsiTheme="minorHAnsi"/>
        </w:rPr>
        <w:t xml:space="preserve"> from FLMs</w:t>
      </w:r>
    </w:p>
    <w:p w14:paraId="65F2EC81" w14:textId="65F64587" w:rsidR="00864897" w:rsidRDefault="00864897" w:rsidP="00864897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Pat Brewer noted that she will be retiring and will not be at the National RH Meeting.</w:t>
      </w:r>
    </w:p>
    <w:p w14:paraId="18AB6156" w14:textId="77777777" w:rsidR="007900A1" w:rsidRPr="00FE42B9" w:rsidRDefault="007900A1" w:rsidP="00FE42B9">
      <w:pPr>
        <w:rPr>
          <w:rFonts w:asciiTheme="minorHAnsi" w:hAnsiTheme="minorHAnsi"/>
        </w:rPr>
      </w:pPr>
    </w:p>
    <w:p w14:paraId="3B37CA04" w14:textId="63D64CDA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</w:p>
    <w:p w14:paraId="2F4F42E7" w14:textId="5A74B39B" w:rsidR="00864897" w:rsidRDefault="00864897" w:rsidP="00864897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Nothing to report.</w:t>
      </w:r>
    </w:p>
    <w:p w14:paraId="16A8CD8A" w14:textId="77777777" w:rsidR="000708E6" w:rsidRDefault="000708E6" w:rsidP="000708E6">
      <w:pPr>
        <w:pStyle w:val="ListParagraph"/>
        <w:rPr>
          <w:rFonts w:asciiTheme="minorHAnsi" w:hAnsiTheme="minorHAnsi"/>
        </w:rPr>
      </w:pPr>
    </w:p>
    <w:p w14:paraId="2E23B703" w14:textId="77777777" w:rsidR="00A97FEA" w:rsidRPr="00A97FEA" w:rsidRDefault="000708E6" w:rsidP="00A97F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2:</w:t>
      </w:r>
      <w:r w:rsidR="00A97FEA" w:rsidRPr="00A97FEA">
        <w:rPr>
          <w:rFonts w:asciiTheme="minorHAnsi" w:hAnsiTheme="minorHAnsi"/>
        </w:rPr>
        <w:t>55-3:00</w:t>
      </w:r>
      <w:r w:rsidR="00A97FEA" w:rsidRPr="00A97FEA">
        <w:rPr>
          <w:rFonts w:asciiTheme="minorHAnsi" w:hAnsiTheme="minorHAnsi"/>
        </w:rPr>
        <w:tab/>
        <w:t>Wrap-up and Assignments – Potential Topics/Speakers for next Call</w:t>
      </w: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1F86FF4F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545B1B">
        <w:rPr>
          <w:rFonts w:asciiTheme="minorHAnsi" w:hAnsiTheme="minorHAnsi"/>
        </w:rPr>
        <w:t xml:space="preserve">August </w:t>
      </w:r>
      <w:r w:rsidR="00864897">
        <w:rPr>
          <w:rFonts w:asciiTheme="minorHAnsi" w:hAnsiTheme="minorHAnsi"/>
        </w:rPr>
        <w:t>13</w:t>
      </w:r>
    </w:p>
    <w:p w14:paraId="56EBEB64" w14:textId="6DBE908B" w:rsidR="00A65E38" w:rsidRDefault="00A65E38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DA49395" w14:textId="77777777" w:rsidR="0003446D" w:rsidRDefault="0003446D">
      <w:pPr>
        <w:spacing w:after="200" w:line="276" w:lineRule="auto"/>
        <w:rPr>
          <w:rFonts w:asciiTheme="minorHAnsi" w:hAnsiTheme="minorHAnsi"/>
        </w:rPr>
      </w:pPr>
    </w:p>
    <w:p w14:paraId="4F8D391A" w14:textId="77777777" w:rsidR="0003446D" w:rsidRPr="0003446D" w:rsidRDefault="0003446D" w:rsidP="0003446D">
      <w:pPr>
        <w:shd w:val="clear" w:color="auto" w:fill="FFFFFF"/>
        <w:rPr>
          <w:rFonts w:cs="Calibri"/>
          <w:color w:val="201F1E"/>
          <w:u w:val="single"/>
        </w:rPr>
      </w:pPr>
      <w:r w:rsidRPr="0003446D">
        <w:rPr>
          <w:rFonts w:cs="Calibri"/>
          <w:color w:val="201F1E"/>
          <w:u w:val="single"/>
        </w:rPr>
        <w:t>Technical Session – October 28</w:t>
      </w:r>
    </w:p>
    <w:p w14:paraId="77D48956" w14:textId="77777777" w:rsidR="0003446D" w:rsidRPr="0003446D" w:rsidRDefault="0003446D" w:rsidP="0003446D">
      <w:pPr>
        <w:shd w:val="clear" w:color="auto" w:fill="FFFFFF"/>
        <w:rPr>
          <w:rFonts w:cs="Calibri"/>
          <w:color w:val="201F1E"/>
        </w:rPr>
      </w:pPr>
    </w:p>
    <w:tbl>
      <w:tblPr>
        <w:tblW w:w="11160" w:type="dxa"/>
        <w:tblInd w:w="8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4685"/>
        <w:gridCol w:w="1801"/>
        <w:gridCol w:w="1072"/>
        <w:gridCol w:w="1177"/>
      </w:tblGrid>
      <w:tr w:rsidR="0003446D" w:rsidRPr="0003446D" w14:paraId="368A0157" w14:textId="77777777" w:rsidTr="0003446D">
        <w:trPr>
          <w:trHeight w:val="35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5A1DA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b/>
                <w:bCs/>
                <w:color w:val="201F1E"/>
              </w:rPr>
              <w:t>Topic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EFA8C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b/>
                <w:bCs/>
                <w:color w:val="201F1E"/>
              </w:rPr>
              <w:t>Outcomes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71E1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b/>
                <w:bCs/>
                <w:color w:val="201F1E"/>
              </w:rPr>
              <w:t>Speakers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6DE1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b/>
                <w:bCs/>
                <w:color w:val="201F1E"/>
              </w:rPr>
              <w:t>Priority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B07E0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b/>
                <w:bCs/>
                <w:color w:val="000000"/>
                <w:bdr w:val="none" w:sz="0" w:space="0" w:color="auto" w:frame="1"/>
              </w:rPr>
              <w:t>Time</w:t>
            </w:r>
          </w:p>
        </w:tc>
      </w:tr>
      <w:tr w:rsidR="0003446D" w:rsidRPr="0003446D" w14:paraId="6DA5FA0B" w14:textId="77777777" w:rsidTr="0003446D">
        <w:trPr>
          <w:trHeight w:val="19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24A68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Understanding Science of Visibility, Natural and Baseline Conditions and Analysis of visibility trends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75E3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-Review the changes in calculations for the second planning period. </w:t>
            </w:r>
          </w:p>
          <w:p w14:paraId="253053D8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-Tools developed to share visibility information with public. </w:t>
            </w:r>
          </w:p>
          <w:p w14:paraId="4A0D38CB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-Recommendation on applying new info on OC/OCM to IMPROVE algorithm</w:t>
            </w:r>
            <w:r w:rsidRPr="0003446D">
              <w:rPr>
                <w:rFonts w:cs="Calibri"/>
                <w:color w:val="0D0D0D"/>
                <w:bdr w:val="none" w:sz="0" w:space="0" w:color="auto" w:frame="1"/>
              </w:rPr>
              <w:t>.</w:t>
            </w:r>
          </w:p>
          <w:p w14:paraId="7848ADD7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D0D0D"/>
                <w:bdr w:val="none" w:sz="0" w:space="0" w:color="auto" w:frame="1"/>
              </w:rPr>
              <w:t>-Updated natural conditions estimates.</w:t>
            </w:r>
          </w:p>
          <w:p w14:paraId="1742191A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-Improve Steering Committee Report - Data Patches, Network Enhancements Planned?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9C7FF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Scott Copeland</w:t>
            </w:r>
          </w:p>
          <w:p w14:paraId="210A5B67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Brett Gantt</w:t>
            </w:r>
          </w:p>
          <w:p w14:paraId="25614920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Jenny Hand</w:t>
            </w:r>
          </w:p>
          <w:p w14:paraId="203F07C6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D0D0D"/>
                <w:bdr w:val="none" w:sz="0" w:space="0" w:color="auto" w:frame="1"/>
              </w:rPr>
              <w:t xml:space="preserve">Bret </w:t>
            </w:r>
            <w:proofErr w:type="spellStart"/>
            <w:r w:rsidRPr="0003446D">
              <w:rPr>
                <w:rFonts w:cs="Calibri"/>
                <w:color w:val="0D0D0D"/>
                <w:bdr w:val="none" w:sz="0" w:space="0" w:color="auto" w:frame="1"/>
              </w:rPr>
              <w:t>Schichtel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04C8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High - Medium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63BEE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00000"/>
                <w:bdr w:val="none" w:sz="0" w:space="0" w:color="auto" w:frame="1"/>
              </w:rPr>
              <w:t>1 – 2 hours</w:t>
            </w:r>
          </w:p>
        </w:tc>
      </w:tr>
      <w:tr w:rsidR="0003446D" w:rsidRPr="0003446D" w14:paraId="4E264DAB" w14:textId="77777777" w:rsidTr="0003446D">
        <w:trPr>
          <w:trHeight w:val="84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65702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00000"/>
                <w:bdr w:val="none" w:sz="0" w:space="0" w:color="auto" w:frame="1"/>
              </w:rPr>
              <w:t>Emissions and Modeling Update</w:t>
            </w:r>
          </w:p>
          <w:p w14:paraId="3DF4A77E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00000"/>
                <w:bdr w:val="none" w:sz="0" w:space="0" w:color="auto" w:frame="1"/>
              </w:rPr>
              <w:t> </w:t>
            </w:r>
          </w:p>
          <w:p w14:paraId="6DCA565A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00000"/>
                <w:bdr w:val="none" w:sz="0" w:space="0" w:color="auto" w:frame="1"/>
              </w:rPr>
              <w:t> </w:t>
            </w:r>
          </w:p>
          <w:p w14:paraId="065FA2C6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44F2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-2016 Emission Inventory</w:t>
            </w:r>
          </w:p>
          <w:p w14:paraId="3F05C88A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 </w:t>
            </w:r>
          </w:p>
          <w:p w14:paraId="5BEB1AB1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00000"/>
                <w:bdr w:val="none" w:sz="0" w:space="0" w:color="auto" w:frame="1"/>
              </w:rPr>
              <w:t>-EGU Projection Updates from ERTAC and IPM workgroups: </w:t>
            </w:r>
            <w:r w:rsidRPr="0003446D">
              <w:rPr>
                <w:rFonts w:cs="Calibri"/>
                <w:color w:val="201F1E"/>
              </w:rPr>
              <w:t>Results of emissions and visibility contribution to Class I areas from EGUs using various methods (IPM, ERTAC) and years/versions (2011, 2016)</w:t>
            </w:r>
          </w:p>
          <w:p w14:paraId="656BD9DB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 </w:t>
            </w:r>
          </w:p>
          <w:p w14:paraId="7591936D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-How does 2016-2028 modeling compare to 2011-2028, 2014-2028 modeling (initial-RPG, source apportionment on most impaired days)?</w:t>
            </w:r>
          </w:p>
          <w:p w14:paraId="6CD1B9E0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-Presentation on</w:t>
            </w:r>
            <w:r w:rsidRPr="0003446D">
              <w:rPr>
                <w:rFonts w:cs="Calibri"/>
                <w:color w:val="000000"/>
                <w:bdr w:val="none" w:sz="0" w:space="0" w:color="auto" w:frame="1"/>
              </w:rPr>
              <w:t> 2028 "base case" modeling and associated source apportionment including the international and prescribed fire adjustment.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BB30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 xml:space="preserve">Alison </w:t>
            </w:r>
            <w:proofErr w:type="spellStart"/>
            <w:r w:rsidRPr="0003446D">
              <w:rPr>
                <w:rFonts w:cs="Calibri"/>
                <w:color w:val="201F1E"/>
              </w:rPr>
              <w:t>Eyth</w:t>
            </w:r>
            <w:proofErr w:type="spellEnd"/>
          </w:p>
          <w:p w14:paraId="301E012C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 </w:t>
            </w:r>
          </w:p>
          <w:p w14:paraId="0A1FBB92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 </w:t>
            </w:r>
          </w:p>
          <w:p w14:paraId="7E6B878F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Julie McDill</w:t>
            </w:r>
          </w:p>
          <w:p w14:paraId="7E3C69A3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00000"/>
                <w:bdr w:val="none" w:sz="0" w:space="0" w:color="auto" w:frame="1"/>
              </w:rPr>
              <w:t> </w:t>
            </w:r>
          </w:p>
          <w:p w14:paraId="6EAD999C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00000"/>
                <w:bdr w:val="none" w:sz="0" w:space="0" w:color="auto" w:frame="1"/>
              </w:rPr>
              <w:t> </w:t>
            </w:r>
          </w:p>
          <w:p w14:paraId="14EAD835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00000"/>
                <w:bdr w:val="none" w:sz="0" w:space="0" w:color="auto" w:frame="1"/>
              </w:rPr>
              <w:t> </w:t>
            </w:r>
          </w:p>
          <w:p w14:paraId="10751757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00000"/>
                <w:bdr w:val="none" w:sz="0" w:space="0" w:color="auto" w:frame="1"/>
              </w:rPr>
              <w:t> </w:t>
            </w:r>
          </w:p>
          <w:p w14:paraId="770D0CEA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00000"/>
                <w:bdr w:val="none" w:sz="0" w:space="0" w:color="auto" w:frame="1"/>
              </w:rPr>
              <w:t xml:space="preserve">Brian </w:t>
            </w:r>
            <w:proofErr w:type="spellStart"/>
            <w:r w:rsidRPr="0003446D">
              <w:rPr>
                <w:rFonts w:cs="Calibri"/>
                <w:color w:val="000000"/>
                <w:bdr w:val="none" w:sz="0" w:space="0" w:color="auto" w:frame="1"/>
              </w:rPr>
              <w:t>Timin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56292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High - Medium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354BB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00000"/>
                <w:bdr w:val="none" w:sz="0" w:space="0" w:color="auto" w:frame="1"/>
              </w:rPr>
              <w:t> 1 – 2 hours</w:t>
            </w:r>
          </w:p>
        </w:tc>
      </w:tr>
      <w:tr w:rsidR="0003446D" w:rsidRPr="0003446D" w14:paraId="35D03255" w14:textId="77777777" w:rsidTr="0003446D">
        <w:trPr>
          <w:trHeight w:val="84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E7AC1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 xml:space="preserve">Demonstration of FLM Desktop modeling Tool </w:t>
            </w:r>
            <w:proofErr w:type="spellStart"/>
            <w:r w:rsidRPr="0003446D">
              <w:rPr>
                <w:rFonts w:cs="Calibri"/>
                <w:color w:val="201F1E"/>
              </w:rPr>
              <w:t>CAMx</w:t>
            </w:r>
            <w:proofErr w:type="spellEnd"/>
            <w:r w:rsidRPr="0003446D">
              <w:rPr>
                <w:rFonts w:cs="Calibri"/>
                <w:color w:val="201F1E"/>
              </w:rPr>
              <w:t xml:space="preserve"> (in Beta version now?)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80B97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What are the spatial limitations of the tool (e.g. is this tool only applicable to sources that are within a certain distance of a Class 1 area)?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172A8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Tim Allen</w:t>
            </w:r>
          </w:p>
          <w:p w14:paraId="28383F7F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Bret Anderson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8A1EA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Medium-Low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3904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00000"/>
                <w:bdr w:val="none" w:sz="0" w:space="0" w:color="auto" w:frame="1"/>
              </w:rPr>
              <w:t> 1 hour</w:t>
            </w:r>
          </w:p>
        </w:tc>
      </w:tr>
    </w:tbl>
    <w:p w14:paraId="0F27C597" w14:textId="77777777" w:rsidR="0003446D" w:rsidRPr="0003446D" w:rsidRDefault="0003446D" w:rsidP="0003446D">
      <w:pPr>
        <w:shd w:val="clear" w:color="auto" w:fill="FFFFFF"/>
        <w:rPr>
          <w:rFonts w:cs="Calibri"/>
          <w:color w:val="201F1E"/>
          <w:u w:val="single"/>
        </w:rPr>
      </w:pPr>
    </w:p>
    <w:p w14:paraId="03D3FC1D" w14:textId="77777777" w:rsidR="0003446D" w:rsidRPr="0003446D" w:rsidRDefault="0003446D" w:rsidP="0003446D">
      <w:pPr>
        <w:spacing w:after="160" w:line="259" w:lineRule="auto"/>
        <w:rPr>
          <w:rFonts w:cs="Calibri"/>
          <w:color w:val="201F1E"/>
          <w:u w:val="single"/>
        </w:rPr>
      </w:pPr>
      <w:r w:rsidRPr="0003446D">
        <w:rPr>
          <w:rFonts w:cs="Calibri"/>
          <w:color w:val="201F1E"/>
          <w:u w:val="single"/>
        </w:rPr>
        <w:br w:type="page"/>
      </w:r>
    </w:p>
    <w:p w14:paraId="767B983C" w14:textId="77777777" w:rsidR="0003446D" w:rsidRPr="0003446D" w:rsidRDefault="0003446D" w:rsidP="0003446D">
      <w:pPr>
        <w:shd w:val="clear" w:color="auto" w:fill="FFFFFF"/>
        <w:rPr>
          <w:rFonts w:cs="Calibri"/>
          <w:color w:val="201F1E"/>
          <w:u w:val="single"/>
        </w:rPr>
      </w:pPr>
      <w:r w:rsidRPr="0003446D">
        <w:rPr>
          <w:rFonts w:cs="Calibri"/>
          <w:color w:val="201F1E"/>
          <w:u w:val="single"/>
        </w:rPr>
        <w:lastRenderedPageBreak/>
        <w:t>Policy Session October 29</w:t>
      </w:r>
    </w:p>
    <w:p w14:paraId="7E8C1C5F" w14:textId="77777777" w:rsidR="0003446D" w:rsidRPr="0003446D" w:rsidRDefault="0003446D" w:rsidP="0003446D">
      <w:pPr>
        <w:shd w:val="clear" w:color="auto" w:fill="FFFFFF"/>
        <w:rPr>
          <w:rFonts w:cs="Calibri"/>
          <w:color w:val="201F1E"/>
        </w:rPr>
      </w:pPr>
    </w:p>
    <w:tbl>
      <w:tblPr>
        <w:tblW w:w="1116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4087"/>
        <w:gridCol w:w="2352"/>
        <w:gridCol w:w="1080"/>
        <w:gridCol w:w="1170"/>
      </w:tblGrid>
      <w:tr w:rsidR="0003446D" w:rsidRPr="0003446D" w14:paraId="62B2B3B2" w14:textId="77777777" w:rsidTr="0003446D"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95BF9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b/>
                <w:bCs/>
                <w:color w:val="201F1E"/>
              </w:rPr>
              <w:t>Topic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5C37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b/>
                <w:bCs/>
                <w:color w:val="201F1E"/>
              </w:rPr>
              <w:t>Outcomes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6E03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b/>
                <w:bCs/>
                <w:color w:val="201F1E"/>
              </w:rPr>
              <w:t>Speakers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6699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b/>
                <w:bCs/>
                <w:color w:val="201F1E"/>
              </w:rPr>
              <w:t>Priority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B894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b/>
                <w:bCs/>
                <w:color w:val="000000"/>
                <w:bdr w:val="none" w:sz="0" w:space="0" w:color="auto" w:frame="1"/>
              </w:rPr>
              <w:t>Time</w:t>
            </w:r>
          </w:p>
        </w:tc>
      </w:tr>
      <w:tr w:rsidR="0003446D" w:rsidRPr="0003446D" w14:paraId="5A6A7BE7" w14:textId="77777777" w:rsidTr="0003446D"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49AC4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Rule and Guidance Update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3FA6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-Overview of Rule and Guidance status and Roadmap Items</w:t>
            </w:r>
          </w:p>
          <w:p w14:paraId="09E09342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-Discussion on newly released guidance</w:t>
            </w:r>
          </w:p>
          <w:p w14:paraId="077DF730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-Interstate Consultation/Varying Submittal Dates</w:t>
            </w:r>
          </w:p>
          <w:p w14:paraId="0680A65C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-Progress Reports</w:t>
            </w:r>
          </w:p>
          <w:p w14:paraId="107ADA90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 </w:t>
            </w:r>
          </w:p>
          <w:p w14:paraId="541F7032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-Walk through example SIP development and how to    incorporate technical analyses in SIPs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1C9B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D0D0D"/>
                <w:bdr w:val="none" w:sz="0" w:space="0" w:color="auto" w:frame="1"/>
              </w:rPr>
              <w:t>EPA OAQPS AQPD</w:t>
            </w:r>
          </w:p>
          <w:p w14:paraId="4BF65C78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 </w:t>
            </w:r>
          </w:p>
          <w:p w14:paraId="45465297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 </w:t>
            </w:r>
          </w:p>
          <w:p w14:paraId="35DB5362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 </w:t>
            </w:r>
          </w:p>
          <w:p w14:paraId="3A1A98FD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 </w:t>
            </w:r>
          </w:p>
          <w:p w14:paraId="296BF934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 </w:t>
            </w:r>
          </w:p>
          <w:p w14:paraId="2E440AD2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AQPD, AQAD, and Regions?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FE658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High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47F76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00000"/>
                <w:bdr w:val="none" w:sz="0" w:space="0" w:color="auto" w:frame="1"/>
              </w:rPr>
              <w:t>2 – 3 hours?</w:t>
            </w:r>
          </w:p>
        </w:tc>
      </w:tr>
      <w:tr w:rsidR="0003446D" w:rsidRPr="0003446D" w14:paraId="41E70CD1" w14:textId="77777777" w:rsidTr="0003446D"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22F0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Source Selection and Four Factor Analysis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918BE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-State updates on their approach/progress to source selection and 4-factor analyses including source selection methods like Q/d and AOI</w:t>
            </w:r>
          </w:p>
          <w:p w14:paraId="3A671CC5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-Discuss source apportionment results by State/sector. </w:t>
            </w:r>
          </w:p>
          <w:p w14:paraId="20C7930D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-FLMs/EPA, what are you looking for from the states?</w:t>
            </w:r>
          </w:p>
          <w:p w14:paraId="23611944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-Anticipated hurdles/challenges (from states/FLMs)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FA60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D0D0D"/>
                <w:bdr w:val="none" w:sz="0" w:space="0" w:color="auto" w:frame="1"/>
              </w:rPr>
              <w:t>Panel of EPA AQPD, AQAD, Regions, FLMs, RPOs, and 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C2950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High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C63E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1 – 2 hours</w:t>
            </w:r>
          </w:p>
        </w:tc>
      </w:tr>
      <w:tr w:rsidR="0003446D" w:rsidRPr="0003446D" w14:paraId="718765B9" w14:textId="77777777" w:rsidTr="0003446D"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9507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FLM Roles and Expectations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04FC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-What RH SIP elements will the FLMs focus on?</w:t>
            </w:r>
          </w:p>
          <w:p w14:paraId="30A1106A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-Will priorities differ between the USFWS, NPS, and USFS? -How do we resolve differences between the FLMs?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F7652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FLM Panel - Pat Brewer, Tim Allen,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EA07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Medium-high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D7E5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00000"/>
                <w:bdr w:val="none" w:sz="0" w:space="0" w:color="auto" w:frame="1"/>
              </w:rPr>
              <w:t> 1 hour</w:t>
            </w:r>
          </w:p>
        </w:tc>
      </w:tr>
      <w:tr w:rsidR="0003446D" w:rsidRPr="0003446D" w14:paraId="5560F7A3" w14:textId="77777777" w:rsidTr="0003446D"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65C05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Consultation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28B8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Consultation between FLMs and stakeholders, state to state, state to region, region to region, region to EPA, FLMs, and stakeholders, etc.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81341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Round table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7A8F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Medium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808A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00000"/>
                <w:bdr w:val="none" w:sz="0" w:space="0" w:color="auto" w:frame="1"/>
              </w:rPr>
              <w:t> 1 hour</w:t>
            </w:r>
          </w:p>
        </w:tc>
      </w:tr>
      <w:tr w:rsidR="0003446D" w:rsidRPr="0003446D" w14:paraId="551F1FA0" w14:textId="77777777" w:rsidTr="0003446D"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0953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State/RPO Updates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77836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-Share state/RPO progress on components of SIP development</w:t>
            </w:r>
          </w:p>
          <w:p w14:paraId="3E8B9F43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-Are there opportunities to leverage existing efforts/resources across states/RPOs?</w:t>
            </w:r>
          </w:p>
          <w:p w14:paraId="0D69998C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lastRenderedPageBreak/>
              <w:t>-Lessons Learned from 1</w:t>
            </w:r>
            <w:r w:rsidRPr="0003446D">
              <w:rPr>
                <w:rFonts w:cs="Calibri"/>
                <w:color w:val="201F1E"/>
                <w:vertAlign w:val="superscript"/>
              </w:rPr>
              <w:t>st</w:t>
            </w:r>
            <w:r w:rsidRPr="0003446D">
              <w:rPr>
                <w:rFonts w:cs="Calibri"/>
                <w:color w:val="201F1E"/>
              </w:rPr>
              <w:t> period, how to maximize funding sources for efficient SIP development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38EC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D0D0D"/>
                <w:bdr w:val="none" w:sz="0" w:space="0" w:color="auto" w:frame="1"/>
              </w:rPr>
              <w:lastRenderedPageBreak/>
              <w:t>State/RPO round table</w:t>
            </w:r>
          </w:p>
          <w:p w14:paraId="19787DE5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00000"/>
                <w:bdr w:val="none" w:sz="0" w:space="0" w:color="auto" w:frame="1"/>
              </w:rPr>
              <w:t>Possible States/RPOs:</w:t>
            </w:r>
          </w:p>
          <w:p w14:paraId="3E826A98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000000"/>
                <w:bdr w:val="none" w:sz="0" w:space="0" w:color="auto" w:frame="1"/>
              </w:rPr>
              <w:t>AR, GA, TX, LADCO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03019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High - Medium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F19F" w14:textId="77777777" w:rsidR="0003446D" w:rsidRPr="0003446D" w:rsidRDefault="0003446D" w:rsidP="0003446D">
            <w:pPr>
              <w:rPr>
                <w:rFonts w:cs="Calibri"/>
                <w:color w:val="201F1E"/>
              </w:rPr>
            </w:pPr>
            <w:r w:rsidRPr="0003446D">
              <w:rPr>
                <w:rFonts w:cs="Calibri"/>
                <w:color w:val="201F1E"/>
              </w:rPr>
              <w:t>1 – 2 hours</w:t>
            </w:r>
          </w:p>
        </w:tc>
      </w:tr>
    </w:tbl>
    <w:p w14:paraId="260D262D" w14:textId="77777777" w:rsidR="0003446D" w:rsidRPr="0003446D" w:rsidRDefault="0003446D" w:rsidP="0003446D">
      <w:pPr>
        <w:spacing w:after="160" w:line="259" w:lineRule="auto"/>
        <w:rPr>
          <w:rFonts w:eastAsia="Calibri"/>
        </w:rPr>
      </w:pPr>
    </w:p>
    <w:p w14:paraId="34F18313" w14:textId="77777777" w:rsidR="004C2581" w:rsidRPr="004C2581" w:rsidRDefault="004C2581" w:rsidP="004C2581">
      <w:pPr>
        <w:rPr>
          <w:rFonts w:asciiTheme="minorHAnsi" w:hAnsiTheme="minorHAnsi"/>
        </w:rPr>
      </w:pPr>
    </w:p>
    <w:p w14:paraId="3F64D529" w14:textId="77777777" w:rsidR="00C07C78" w:rsidRPr="00C07C78" w:rsidRDefault="00C07C78" w:rsidP="00C07C78">
      <w:pPr>
        <w:rPr>
          <w:rFonts w:asciiTheme="minorHAnsi" w:hAnsiTheme="minorHAnsi"/>
        </w:rPr>
      </w:pPr>
    </w:p>
    <w:p w14:paraId="63434E90" w14:textId="44EE253E" w:rsidR="009E080A" w:rsidRDefault="009E080A" w:rsidP="00C07C78">
      <w:pPr>
        <w:rPr>
          <w:rFonts w:asciiTheme="minorHAnsi" w:hAnsiTheme="minorHAnsi"/>
        </w:rPr>
      </w:pPr>
    </w:p>
    <w:p w14:paraId="7F17A7DE" w14:textId="7678C471" w:rsidR="00CF21A2" w:rsidRPr="004C2581" w:rsidRDefault="002A29BE" w:rsidP="00C07C7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Day 3 – Final Discussions and </w:t>
      </w:r>
      <w:proofErr w:type="spellStart"/>
      <w:r>
        <w:rPr>
          <w:rFonts w:asciiTheme="minorHAnsi" w:hAnsiTheme="minorHAnsi"/>
        </w:rPr>
        <w:t>Wrapup</w:t>
      </w:r>
      <w:proofErr w:type="spellEnd"/>
      <w:r>
        <w:rPr>
          <w:rFonts w:asciiTheme="minorHAnsi" w:hAnsiTheme="minorHAnsi"/>
        </w:rPr>
        <w:t xml:space="preserve"> </w:t>
      </w:r>
    </w:p>
    <w:sectPr w:rsidR="00CF21A2" w:rsidRPr="004C2581" w:rsidSect="00A65E38">
      <w:pgSz w:w="15840" w:h="12240" w:orient="landscape"/>
      <w:pgMar w:top="720" w:right="72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7FF4"/>
    <w:rsid w:val="00010444"/>
    <w:rsid w:val="00020589"/>
    <w:rsid w:val="000271AE"/>
    <w:rsid w:val="0003446D"/>
    <w:rsid w:val="00043ACB"/>
    <w:rsid w:val="000442B5"/>
    <w:rsid w:val="00064674"/>
    <w:rsid w:val="000676B6"/>
    <w:rsid w:val="000708E6"/>
    <w:rsid w:val="000831E6"/>
    <w:rsid w:val="00086090"/>
    <w:rsid w:val="00086969"/>
    <w:rsid w:val="00090C80"/>
    <w:rsid w:val="00094FFB"/>
    <w:rsid w:val="000B68C6"/>
    <w:rsid w:val="000C33BB"/>
    <w:rsid w:val="000E1DD5"/>
    <w:rsid w:val="000E5489"/>
    <w:rsid w:val="000F2E24"/>
    <w:rsid w:val="000F6110"/>
    <w:rsid w:val="0010787B"/>
    <w:rsid w:val="001257DB"/>
    <w:rsid w:val="001304EB"/>
    <w:rsid w:val="00137320"/>
    <w:rsid w:val="00141C9A"/>
    <w:rsid w:val="00146DED"/>
    <w:rsid w:val="001503C5"/>
    <w:rsid w:val="0016556A"/>
    <w:rsid w:val="0018045E"/>
    <w:rsid w:val="00184928"/>
    <w:rsid w:val="00192ABB"/>
    <w:rsid w:val="001A088B"/>
    <w:rsid w:val="001A733C"/>
    <w:rsid w:val="001B6FA9"/>
    <w:rsid w:val="001C0653"/>
    <w:rsid w:val="001C48CB"/>
    <w:rsid w:val="001E22EF"/>
    <w:rsid w:val="001E3C8C"/>
    <w:rsid w:val="001F5C1E"/>
    <w:rsid w:val="002051F9"/>
    <w:rsid w:val="002158A9"/>
    <w:rsid w:val="002231DC"/>
    <w:rsid w:val="00224049"/>
    <w:rsid w:val="002317D7"/>
    <w:rsid w:val="0023357D"/>
    <w:rsid w:val="00236CF9"/>
    <w:rsid w:val="0024134D"/>
    <w:rsid w:val="00250103"/>
    <w:rsid w:val="002549AD"/>
    <w:rsid w:val="002732D7"/>
    <w:rsid w:val="00286EB3"/>
    <w:rsid w:val="00291021"/>
    <w:rsid w:val="002947EA"/>
    <w:rsid w:val="002A14E1"/>
    <w:rsid w:val="002A29BE"/>
    <w:rsid w:val="002D361C"/>
    <w:rsid w:val="002D6DC9"/>
    <w:rsid w:val="002E1C44"/>
    <w:rsid w:val="002F588C"/>
    <w:rsid w:val="002F700A"/>
    <w:rsid w:val="0030276B"/>
    <w:rsid w:val="00330578"/>
    <w:rsid w:val="00337AF9"/>
    <w:rsid w:val="003431C7"/>
    <w:rsid w:val="0035393C"/>
    <w:rsid w:val="0035477F"/>
    <w:rsid w:val="00356775"/>
    <w:rsid w:val="00364026"/>
    <w:rsid w:val="00364633"/>
    <w:rsid w:val="003652EA"/>
    <w:rsid w:val="0037534F"/>
    <w:rsid w:val="00383D87"/>
    <w:rsid w:val="003904A0"/>
    <w:rsid w:val="00392E19"/>
    <w:rsid w:val="003A24B3"/>
    <w:rsid w:val="003A3120"/>
    <w:rsid w:val="003A66B5"/>
    <w:rsid w:val="003B3323"/>
    <w:rsid w:val="003B351C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7F94"/>
    <w:rsid w:val="00416125"/>
    <w:rsid w:val="00416D49"/>
    <w:rsid w:val="00451B76"/>
    <w:rsid w:val="00470EA8"/>
    <w:rsid w:val="00492B4B"/>
    <w:rsid w:val="00495477"/>
    <w:rsid w:val="004A5FCD"/>
    <w:rsid w:val="004A6D4C"/>
    <w:rsid w:val="004B6BFC"/>
    <w:rsid w:val="004B71F9"/>
    <w:rsid w:val="004C2581"/>
    <w:rsid w:val="004D46A8"/>
    <w:rsid w:val="004F10A8"/>
    <w:rsid w:val="004F6C8B"/>
    <w:rsid w:val="00507303"/>
    <w:rsid w:val="00513B7C"/>
    <w:rsid w:val="005171FA"/>
    <w:rsid w:val="00534287"/>
    <w:rsid w:val="00542654"/>
    <w:rsid w:val="00545B1B"/>
    <w:rsid w:val="00556A55"/>
    <w:rsid w:val="00564E4B"/>
    <w:rsid w:val="0056563D"/>
    <w:rsid w:val="00576841"/>
    <w:rsid w:val="0058303C"/>
    <w:rsid w:val="00583818"/>
    <w:rsid w:val="00584531"/>
    <w:rsid w:val="005852F3"/>
    <w:rsid w:val="00590ACF"/>
    <w:rsid w:val="00590D4E"/>
    <w:rsid w:val="00590F24"/>
    <w:rsid w:val="00592B35"/>
    <w:rsid w:val="0059422B"/>
    <w:rsid w:val="005A5CD7"/>
    <w:rsid w:val="005C23BB"/>
    <w:rsid w:val="005C7E19"/>
    <w:rsid w:val="005D005F"/>
    <w:rsid w:val="005D4422"/>
    <w:rsid w:val="005D7D2F"/>
    <w:rsid w:val="005E08D9"/>
    <w:rsid w:val="005E32C8"/>
    <w:rsid w:val="005F2BAC"/>
    <w:rsid w:val="005F4C12"/>
    <w:rsid w:val="00602DEA"/>
    <w:rsid w:val="00604FD0"/>
    <w:rsid w:val="00606CE5"/>
    <w:rsid w:val="00610199"/>
    <w:rsid w:val="00623BC9"/>
    <w:rsid w:val="0064378F"/>
    <w:rsid w:val="00662C06"/>
    <w:rsid w:val="006631FA"/>
    <w:rsid w:val="006675CB"/>
    <w:rsid w:val="00673C1D"/>
    <w:rsid w:val="00675929"/>
    <w:rsid w:val="006946AF"/>
    <w:rsid w:val="006960AB"/>
    <w:rsid w:val="00696F3E"/>
    <w:rsid w:val="00697C5A"/>
    <w:rsid w:val="006D09CC"/>
    <w:rsid w:val="006E038C"/>
    <w:rsid w:val="00700949"/>
    <w:rsid w:val="007358AE"/>
    <w:rsid w:val="007447EC"/>
    <w:rsid w:val="007635DA"/>
    <w:rsid w:val="00765808"/>
    <w:rsid w:val="00771FDC"/>
    <w:rsid w:val="0077207B"/>
    <w:rsid w:val="00775368"/>
    <w:rsid w:val="0078463B"/>
    <w:rsid w:val="00784B64"/>
    <w:rsid w:val="00786545"/>
    <w:rsid w:val="007900A1"/>
    <w:rsid w:val="00793B10"/>
    <w:rsid w:val="007A0AFB"/>
    <w:rsid w:val="007A15FA"/>
    <w:rsid w:val="007A223C"/>
    <w:rsid w:val="007A422D"/>
    <w:rsid w:val="007A520E"/>
    <w:rsid w:val="007A66AC"/>
    <w:rsid w:val="007B0F7E"/>
    <w:rsid w:val="007D0350"/>
    <w:rsid w:val="007D5CF8"/>
    <w:rsid w:val="007E4495"/>
    <w:rsid w:val="007E689A"/>
    <w:rsid w:val="007F064A"/>
    <w:rsid w:val="007F5677"/>
    <w:rsid w:val="00817244"/>
    <w:rsid w:val="00830BBB"/>
    <w:rsid w:val="00831192"/>
    <w:rsid w:val="00840BA9"/>
    <w:rsid w:val="00860556"/>
    <w:rsid w:val="00864897"/>
    <w:rsid w:val="0086782E"/>
    <w:rsid w:val="008839BB"/>
    <w:rsid w:val="00893148"/>
    <w:rsid w:val="008A6311"/>
    <w:rsid w:val="008C50BB"/>
    <w:rsid w:val="008D5A59"/>
    <w:rsid w:val="008E0DBF"/>
    <w:rsid w:val="008E7713"/>
    <w:rsid w:val="008F66C0"/>
    <w:rsid w:val="0092441C"/>
    <w:rsid w:val="00950A88"/>
    <w:rsid w:val="009564CA"/>
    <w:rsid w:val="00956735"/>
    <w:rsid w:val="00963B58"/>
    <w:rsid w:val="009777B9"/>
    <w:rsid w:val="00980290"/>
    <w:rsid w:val="00985BE4"/>
    <w:rsid w:val="0099731B"/>
    <w:rsid w:val="009A6B2D"/>
    <w:rsid w:val="009B6D84"/>
    <w:rsid w:val="009B72FC"/>
    <w:rsid w:val="009D18FD"/>
    <w:rsid w:val="009D392B"/>
    <w:rsid w:val="009E080A"/>
    <w:rsid w:val="009E0E29"/>
    <w:rsid w:val="009F2D06"/>
    <w:rsid w:val="00A01300"/>
    <w:rsid w:val="00A111E6"/>
    <w:rsid w:val="00A15C70"/>
    <w:rsid w:val="00A362EC"/>
    <w:rsid w:val="00A374E9"/>
    <w:rsid w:val="00A45B3A"/>
    <w:rsid w:val="00A504DA"/>
    <w:rsid w:val="00A547A8"/>
    <w:rsid w:val="00A65E38"/>
    <w:rsid w:val="00A71522"/>
    <w:rsid w:val="00A758EF"/>
    <w:rsid w:val="00A80C26"/>
    <w:rsid w:val="00A97FEA"/>
    <w:rsid w:val="00AA5F97"/>
    <w:rsid w:val="00AA6C43"/>
    <w:rsid w:val="00AB61EC"/>
    <w:rsid w:val="00AB70C6"/>
    <w:rsid w:val="00AC2113"/>
    <w:rsid w:val="00AC53E0"/>
    <w:rsid w:val="00AC788E"/>
    <w:rsid w:val="00AD401D"/>
    <w:rsid w:val="00AD4B84"/>
    <w:rsid w:val="00AE69A6"/>
    <w:rsid w:val="00AE7DCD"/>
    <w:rsid w:val="00AF1337"/>
    <w:rsid w:val="00B0235B"/>
    <w:rsid w:val="00B20277"/>
    <w:rsid w:val="00B305D3"/>
    <w:rsid w:val="00B3100D"/>
    <w:rsid w:val="00B32736"/>
    <w:rsid w:val="00B4302D"/>
    <w:rsid w:val="00B4356A"/>
    <w:rsid w:val="00B456A6"/>
    <w:rsid w:val="00B4625B"/>
    <w:rsid w:val="00B51EA9"/>
    <w:rsid w:val="00B568C7"/>
    <w:rsid w:val="00B60EC9"/>
    <w:rsid w:val="00B66CE3"/>
    <w:rsid w:val="00B70173"/>
    <w:rsid w:val="00B704C4"/>
    <w:rsid w:val="00B762F1"/>
    <w:rsid w:val="00B817E4"/>
    <w:rsid w:val="00BA5BB4"/>
    <w:rsid w:val="00BA66DB"/>
    <w:rsid w:val="00BB013E"/>
    <w:rsid w:val="00BB3A98"/>
    <w:rsid w:val="00BB799A"/>
    <w:rsid w:val="00BC14D9"/>
    <w:rsid w:val="00BE3003"/>
    <w:rsid w:val="00BE7147"/>
    <w:rsid w:val="00C07C78"/>
    <w:rsid w:val="00C07D18"/>
    <w:rsid w:val="00C10CE6"/>
    <w:rsid w:val="00C6238B"/>
    <w:rsid w:val="00C86FBC"/>
    <w:rsid w:val="00C87FEE"/>
    <w:rsid w:val="00CB3B82"/>
    <w:rsid w:val="00CC4D7A"/>
    <w:rsid w:val="00CC5D6B"/>
    <w:rsid w:val="00CC785D"/>
    <w:rsid w:val="00CD6204"/>
    <w:rsid w:val="00CD7320"/>
    <w:rsid w:val="00CE4EFC"/>
    <w:rsid w:val="00CE7894"/>
    <w:rsid w:val="00CF1FB7"/>
    <w:rsid w:val="00CF21A2"/>
    <w:rsid w:val="00CF2AEF"/>
    <w:rsid w:val="00CF4945"/>
    <w:rsid w:val="00CF6390"/>
    <w:rsid w:val="00D01A0D"/>
    <w:rsid w:val="00D02883"/>
    <w:rsid w:val="00D0359F"/>
    <w:rsid w:val="00D05214"/>
    <w:rsid w:val="00D148BD"/>
    <w:rsid w:val="00D2741D"/>
    <w:rsid w:val="00D36572"/>
    <w:rsid w:val="00D416C1"/>
    <w:rsid w:val="00D65950"/>
    <w:rsid w:val="00D8637C"/>
    <w:rsid w:val="00D87429"/>
    <w:rsid w:val="00D936E0"/>
    <w:rsid w:val="00DB4D01"/>
    <w:rsid w:val="00DB4E48"/>
    <w:rsid w:val="00DC32D7"/>
    <w:rsid w:val="00DC5423"/>
    <w:rsid w:val="00DE0752"/>
    <w:rsid w:val="00DE6B21"/>
    <w:rsid w:val="00DF1568"/>
    <w:rsid w:val="00DF7DA6"/>
    <w:rsid w:val="00E10C2E"/>
    <w:rsid w:val="00E171E6"/>
    <w:rsid w:val="00E2245E"/>
    <w:rsid w:val="00E23862"/>
    <w:rsid w:val="00E3275E"/>
    <w:rsid w:val="00E43022"/>
    <w:rsid w:val="00E44B87"/>
    <w:rsid w:val="00E54F28"/>
    <w:rsid w:val="00E67844"/>
    <w:rsid w:val="00E74AE3"/>
    <w:rsid w:val="00E770AA"/>
    <w:rsid w:val="00E808F1"/>
    <w:rsid w:val="00E86DB2"/>
    <w:rsid w:val="00E9755A"/>
    <w:rsid w:val="00EA0E66"/>
    <w:rsid w:val="00EA11E3"/>
    <w:rsid w:val="00EA34B1"/>
    <w:rsid w:val="00EB1C37"/>
    <w:rsid w:val="00EC1F97"/>
    <w:rsid w:val="00ED4E96"/>
    <w:rsid w:val="00EE4C4E"/>
    <w:rsid w:val="00EF09F0"/>
    <w:rsid w:val="00EF403C"/>
    <w:rsid w:val="00EF77B7"/>
    <w:rsid w:val="00F002F6"/>
    <w:rsid w:val="00F22A1D"/>
    <w:rsid w:val="00F2503F"/>
    <w:rsid w:val="00F44380"/>
    <w:rsid w:val="00F56245"/>
    <w:rsid w:val="00F7364D"/>
    <w:rsid w:val="00F77A03"/>
    <w:rsid w:val="00FA2143"/>
    <w:rsid w:val="00FD087F"/>
    <w:rsid w:val="00FD094E"/>
    <w:rsid w:val="00FE42B9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325B2AD9-12A2-461E-8417-E20602A8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18493745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E77690-0658-4834-8E2C-C6C609EAF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32</cp:revision>
  <cp:lastPrinted>2019-01-08T19:32:00Z</cp:lastPrinted>
  <dcterms:created xsi:type="dcterms:W3CDTF">2020-04-03T01:50:00Z</dcterms:created>
  <dcterms:modified xsi:type="dcterms:W3CDTF">2020-04-06T01:39:00Z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